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>-2610/202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68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ind w:firstLine="68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о делу об административном правонарушении</w:t>
      </w:r>
    </w:p>
    <w:p>
      <w:pPr>
        <w:spacing w:before="0" w:after="0"/>
        <w:ind w:firstLine="680"/>
        <w:jc w:val="center"/>
        <w:rPr>
          <w:sz w:val="27"/>
          <w:szCs w:val="27"/>
        </w:rPr>
      </w:pP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18 февраля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205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Кузнецовой Елены Викторовны</w:t>
      </w:r>
      <w:r>
        <w:rPr>
          <w:rFonts w:ascii="Times New Roman" w:eastAsia="Times New Roman" w:hAnsi="Times New Roman" w:cs="Times New Roman"/>
          <w:sz w:val="27"/>
          <w:szCs w:val="27"/>
        </w:rPr>
        <w:t>, родивше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ся </w:t>
      </w:r>
      <w:r>
        <w:rPr>
          <w:rStyle w:val="cat-UserDefinedgrp-39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7"/>
          <w:szCs w:val="27"/>
        </w:rPr>
        <w:t>ч. 4 ст. 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</w:t>
      </w:r>
    </w:p>
    <w:p>
      <w:pPr>
        <w:spacing w:before="0" w:after="0"/>
        <w:ind w:firstLine="680"/>
        <w:jc w:val="both"/>
        <w:rPr>
          <w:sz w:val="27"/>
          <w:szCs w:val="27"/>
        </w:rPr>
      </w:pPr>
    </w:p>
    <w:p>
      <w:pPr>
        <w:spacing w:before="0" w:after="0"/>
        <w:ind w:firstLine="68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68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17.06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МБДОУ </w:t>
      </w:r>
      <w:r>
        <w:rPr>
          <w:rStyle w:val="cat-UserDefinedgrp-40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(далее страхователь) направило в Отделение Фонда пенсионного и социального страхования Российской Федерации по Ханты-Мансийскому автономному округу - Югре (далее отделение Фонда, страховщик) сведения в электронном виде для назначения и выплаты пособия по временной нетрудоспособности застрахованному лицу </w:t>
      </w:r>
      <w:r>
        <w:rPr>
          <w:rStyle w:val="cat-UserDefinedgrp-41rplc-2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электронному листку нетрудоспособности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2rplc-2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период нетрудоспособности с </w:t>
      </w:r>
      <w:r>
        <w:rPr>
          <w:rStyle w:val="cat-UserDefinedgrp-43rplc-2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что подтверждается распечаткой </w:t>
      </w:r>
      <w:r>
        <w:rPr>
          <w:rFonts w:ascii="Times New Roman" w:eastAsia="Times New Roman" w:hAnsi="Times New Roman" w:cs="Times New Roman"/>
          <w:sz w:val="27"/>
          <w:szCs w:val="27"/>
        </w:rPr>
        <w:t>проактивного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процесса № </w:t>
      </w:r>
      <w:r>
        <w:rPr>
          <w:rStyle w:val="cat-UserDefinedgrp-31rplc-2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функционального компонента «</w:t>
      </w:r>
      <w:r>
        <w:rPr>
          <w:rFonts w:ascii="Times New Roman" w:eastAsia="Times New Roman" w:hAnsi="Times New Roman" w:cs="Times New Roman"/>
          <w:sz w:val="27"/>
          <w:szCs w:val="27"/>
        </w:rPr>
        <w:t>Проактивные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выплаты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Федеральной государственной информационной системы «Единая интегрированная информационная система «Соцстрах» (далее программное обеспечение). Согласно </w:t>
      </w:r>
      <w:r>
        <w:rPr>
          <w:rFonts w:ascii="Times New Roman" w:eastAsia="Times New Roman" w:hAnsi="Times New Roman" w:cs="Times New Roman"/>
          <w:sz w:val="27"/>
          <w:szCs w:val="27"/>
        </w:rPr>
        <w:t>проактивному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процессу № </w:t>
      </w:r>
      <w:r>
        <w:rPr>
          <w:rStyle w:val="cat-UserDefinedgrp-31rplc-2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уведомление о закрытии листка нетрудоспособности и запрос на проверку, подтверждение, корректировку сведений страхователю (работодателю) было направлено оператором Единой государственной информационной системы </w:t>
      </w:r>
      <w:r>
        <w:rPr>
          <w:rFonts w:ascii="Times New Roman" w:eastAsia="Times New Roman" w:hAnsi="Times New Roman" w:cs="Times New Roman"/>
          <w:sz w:val="27"/>
          <w:szCs w:val="27"/>
        </w:rPr>
        <w:t>09.06.2025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в </w:t>
      </w:r>
      <w:r>
        <w:rPr>
          <w:rFonts w:ascii="Times New Roman" w:eastAsia="Times New Roman" w:hAnsi="Times New Roman" w:cs="Times New Roman"/>
          <w:sz w:val="27"/>
          <w:szCs w:val="27"/>
        </w:rPr>
        <w:t>16.03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что подтверждается распечаткой </w:t>
      </w:r>
      <w:r>
        <w:rPr>
          <w:rFonts w:ascii="Times New Roman" w:eastAsia="Times New Roman" w:hAnsi="Times New Roman" w:cs="Times New Roman"/>
          <w:sz w:val="27"/>
          <w:szCs w:val="27"/>
        </w:rPr>
        <w:t>проактивного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процесса программного обеспечения.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 по временной нетрудоспособности (ч.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8 ст. 13 Закона № 255-ФЗ). Ответ на запрос страхователь должен был направить до 24 </w:t>
      </w:r>
      <w:r>
        <w:rPr>
          <w:rStyle w:val="cat-Timegrp-29rplc-28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16.06</w:t>
      </w:r>
      <w:r>
        <w:rPr>
          <w:rFonts w:ascii="Times New Roman" w:eastAsia="Times New Roman" w:hAnsi="Times New Roman" w:cs="Times New Roman"/>
          <w:sz w:val="27"/>
          <w:szCs w:val="27"/>
        </w:rPr>
        <w:t>.2025г. Страхователь не направил ответ на запрос в течении трех рабочих дней с даты направления запроса на проверку, подтверждение, корректировку сведений, нарушив ч. 8 ст. 13 Закона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255-ФЗ. Дата и время совершения правонарушения: </w:t>
      </w:r>
      <w:r>
        <w:rPr>
          <w:rFonts w:ascii="Times New Roman" w:eastAsia="Times New Roman" w:hAnsi="Times New Roman" w:cs="Times New Roman"/>
          <w:sz w:val="27"/>
          <w:szCs w:val="27"/>
        </w:rPr>
        <w:t>17.06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г. </w:t>
      </w:r>
      <w:r>
        <w:rPr>
          <w:rStyle w:val="cat-Timegrp-30rplc-31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Таким образом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пропуск страхователем срока направления страховщику сведений для назначения и выплаты пособий по обязательному социальному страхованию на случай временной нетрудоспособности составил 1 рабочий день. </w:t>
      </w:r>
    </w:p>
    <w:p>
      <w:pPr>
        <w:widowControl w:val="0"/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об административном правонарушении привлекаемая, будучи извещенной надлежащим образом о времени и месте судебного разбирательства (п. 6 постановления Пленума ВС РФ от 24.03.2005 г. № 5), не присутствовала, ходатайств об отложении судебного заседания не заявляла. При таких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обстоятельствах и на основании ч. 2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доказательствам. 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Изучив материалы дела, мировой судья приходит к выводу о том, что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7"/>
          <w:szCs w:val="27"/>
        </w:rPr>
        <w:t>Кузнецовой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рассматриваемого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 подтверждается: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протоколом № </w:t>
      </w:r>
      <w:r>
        <w:rPr>
          <w:rFonts w:ascii="Times New Roman" w:eastAsia="Times New Roman" w:hAnsi="Times New Roman" w:cs="Times New Roman"/>
          <w:sz w:val="27"/>
          <w:szCs w:val="27"/>
        </w:rPr>
        <w:t>1197859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23.12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>телефонограммой-уведомлением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23.12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года № </w:t>
      </w:r>
      <w:r>
        <w:rPr>
          <w:rFonts w:ascii="Times New Roman" w:eastAsia="Times New Roman" w:hAnsi="Times New Roman" w:cs="Times New Roman"/>
          <w:sz w:val="27"/>
          <w:szCs w:val="27"/>
        </w:rPr>
        <w:t>175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выпиской из </w:t>
      </w:r>
      <w:r>
        <w:rPr>
          <w:rFonts w:ascii="Times New Roman" w:eastAsia="Times New Roman" w:hAnsi="Times New Roman" w:cs="Times New Roman"/>
          <w:sz w:val="27"/>
          <w:szCs w:val="27"/>
        </w:rPr>
        <w:t>Единого государственного реестра юридических лиц;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копией приказа (распоряжение) о приеме работника на работу от 07.10.2013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296-к</w:t>
      </w:r>
      <w:r>
        <w:rPr>
          <w:rFonts w:ascii="Times New Roman" w:eastAsia="Times New Roman" w:hAnsi="Times New Roman" w:cs="Times New Roman"/>
          <w:sz w:val="27"/>
          <w:szCs w:val="27"/>
        </w:rPr>
        <w:t>; копией приказа о назначении ответственного за передачу сведений в Социальный фонд России от 20.02.2025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№ ДС77-11-78/5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распечаткой </w:t>
      </w:r>
      <w:r>
        <w:rPr>
          <w:rFonts w:ascii="Times New Roman" w:eastAsia="Times New Roman" w:hAnsi="Times New Roman" w:cs="Times New Roman"/>
          <w:sz w:val="27"/>
          <w:szCs w:val="27"/>
        </w:rPr>
        <w:t>проактивного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Процесса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UserDefinedgrp-31rplc-38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копиями отчета о направлении, получении копии протокола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1197859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от 23.12.2025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Частью 4 ст. 15.33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предусмотрена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административная ответственность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>епредставление 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51284/entry/101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вышеприведенные доказательства в их совокупности, мировой судья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Кузнецовой Е.В.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</w:t>
      </w:r>
      <w:r>
        <w:rPr>
          <w:rFonts w:ascii="Times New Roman" w:eastAsia="Times New Roman" w:hAnsi="Times New Roman" w:cs="Times New Roman"/>
          <w:sz w:val="27"/>
          <w:szCs w:val="27"/>
        </w:rPr>
        <w:t>, а потому действия последне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квалифициру</w:t>
      </w:r>
      <w:r>
        <w:rPr>
          <w:rFonts w:ascii="Times New Roman" w:eastAsia="Times New Roman" w:hAnsi="Times New Roman" w:cs="Times New Roman"/>
          <w:sz w:val="27"/>
          <w:szCs w:val="27"/>
        </w:rPr>
        <w:t>ет п</w:t>
      </w:r>
      <w:r>
        <w:rPr>
          <w:rFonts w:ascii="Times New Roman" w:eastAsia="Times New Roman" w:hAnsi="Times New Roman" w:cs="Times New Roman"/>
          <w:sz w:val="27"/>
          <w:szCs w:val="27"/>
        </w:rPr>
        <w:t>о ч. 4 ст. 15.33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Оснований для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признания правонарушения малозначительным и освобождения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Кузнецовой Е.В. </w:t>
      </w:r>
      <w:r>
        <w:rPr>
          <w:rFonts w:ascii="Times New Roman" w:eastAsia="Times New Roman" w:hAnsi="Times New Roman" w:cs="Times New Roman"/>
          <w:sz w:val="27"/>
          <w:szCs w:val="27"/>
        </w:rPr>
        <w:t>от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отсутствуют, поскольку оно связано с несвоевременным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назначением и выплатой </w:t>
      </w:r>
      <w:r>
        <w:rPr>
          <w:rFonts w:ascii="Times New Roman" w:eastAsia="Times New Roman" w:hAnsi="Times New Roman" w:cs="Times New Roman"/>
          <w:sz w:val="27"/>
          <w:szCs w:val="27"/>
        </w:rPr>
        <w:t>соответствующего вида пособия.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исключающих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r>
        <w:rPr>
          <w:rFonts w:ascii="Times New Roman" w:eastAsia="Times New Roman" w:hAnsi="Times New Roman" w:cs="Times New Roman"/>
          <w:sz w:val="27"/>
          <w:szCs w:val="27"/>
        </w:rPr>
        <w:t>возможность рассмотрения дела об административном правонарушении, не имеется.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мягчающи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 о</w:t>
      </w:r>
      <w:r>
        <w:rPr>
          <w:rFonts w:ascii="Times New Roman" w:eastAsia="Times New Roman" w:hAnsi="Times New Roman" w:cs="Times New Roman"/>
          <w:sz w:val="27"/>
          <w:szCs w:val="27"/>
        </w:rPr>
        <w:t>тягчающих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 не усматривает.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мировой судья приходит к выводу о возможности назначить наказание в виде административного штрафа в минимальном, предусмотренном санкцией размере.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уководствуясь ч.1 ст. 29.10 </w:t>
      </w:r>
      <w:r>
        <w:rPr>
          <w:rFonts w:ascii="Times New Roman" w:eastAsia="Times New Roman" w:hAnsi="Times New Roman" w:cs="Times New Roman"/>
          <w:sz w:val="27"/>
          <w:szCs w:val="27"/>
        </w:rPr>
        <w:t>КоАП РФ</w:t>
      </w:r>
      <w:r>
        <w:rPr>
          <w:rFonts w:ascii="Times New Roman" w:eastAsia="Times New Roman" w:hAnsi="Times New Roman" w:cs="Times New Roman"/>
          <w:sz w:val="27"/>
          <w:szCs w:val="27"/>
        </w:rPr>
        <w:t>, мировой судья</w:t>
      </w:r>
    </w:p>
    <w:p>
      <w:pPr>
        <w:spacing w:before="0" w:after="0"/>
        <w:ind w:firstLine="680"/>
        <w:jc w:val="both"/>
        <w:rPr>
          <w:sz w:val="27"/>
          <w:szCs w:val="27"/>
        </w:rPr>
      </w:pPr>
    </w:p>
    <w:p>
      <w:pPr>
        <w:spacing w:before="0" w:after="0"/>
        <w:ind w:firstLine="68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680"/>
        <w:jc w:val="center"/>
        <w:rPr>
          <w:sz w:val="27"/>
          <w:szCs w:val="27"/>
        </w:rPr>
      </w:pP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- </w:t>
      </w:r>
      <w:r>
        <w:rPr>
          <w:rFonts w:ascii="Times New Roman" w:eastAsia="Times New Roman" w:hAnsi="Times New Roman" w:cs="Times New Roman"/>
          <w:sz w:val="27"/>
          <w:szCs w:val="27"/>
        </w:rPr>
        <w:t>специалист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4rplc-4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Кузнецов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Елен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Викторовн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 4 ст. 15.33 </w:t>
      </w:r>
      <w:r>
        <w:rPr>
          <w:rFonts w:ascii="Times New Roman" w:eastAsia="Times New Roman" w:hAnsi="Times New Roman" w:cs="Times New Roman"/>
          <w:sz w:val="27"/>
          <w:szCs w:val="27"/>
        </w:rPr>
        <w:t>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административное наказание в виде штрафа в размере </w:t>
      </w:r>
      <w:r>
        <w:rPr>
          <w:rStyle w:val="cat-Sumgrp-26rplc-45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10 Сургутского судебного района города окружного значения Сургута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получения копии постановления.</w:t>
      </w:r>
    </w:p>
    <w:p>
      <w:pPr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перечислять по следующим реквизитам: </w:t>
      </w:r>
      <w:r>
        <w:rPr>
          <w:rFonts w:ascii="Times New Roman" w:eastAsia="Times New Roman" w:hAnsi="Times New Roman" w:cs="Times New Roman"/>
        </w:rPr>
        <w:t xml:space="preserve">банк получателя: </w:t>
      </w:r>
      <w:r>
        <w:rPr>
          <w:rFonts w:ascii="Times New Roman" w:eastAsia="Times New Roman" w:hAnsi="Times New Roman" w:cs="Times New Roman"/>
        </w:rPr>
        <w:t>ОКЦ № 8 Уральского ГУ Банка России // УФК по ХМАО-Югре г. Ханты-Мансийск,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казначейский счет 03100643000000018700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кор</w:t>
      </w:r>
      <w:r>
        <w:rPr>
          <w:rFonts w:ascii="Times New Roman" w:eastAsia="Times New Roman" w:hAnsi="Times New Roman" w:cs="Times New Roman"/>
        </w:rPr>
        <w:t xml:space="preserve">/счет </w:t>
      </w:r>
      <w:r>
        <w:rPr>
          <w:rFonts w:ascii="Times New Roman" w:eastAsia="Times New Roman" w:hAnsi="Times New Roman" w:cs="Times New Roman"/>
        </w:rPr>
        <w:t>40102810245370000007,</w:t>
      </w:r>
      <w:r>
        <w:rPr>
          <w:rFonts w:ascii="Times New Roman" w:eastAsia="Times New Roman" w:hAnsi="Times New Roman" w:cs="Times New Roman"/>
        </w:rPr>
        <w:t xml:space="preserve"> БИК ТОФК </w:t>
      </w:r>
      <w:r>
        <w:rPr>
          <w:rFonts w:ascii="Times New Roman" w:eastAsia="Times New Roman" w:hAnsi="Times New Roman" w:cs="Times New Roman"/>
        </w:rPr>
        <w:t>007162163,</w:t>
      </w:r>
      <w:r>
        <w:rPr>
          <w:rFonts w:ascii="Times New Roman" w:eastAsia="Times New Roman" w:hAnsi="Times New Roman" w:cs="Times New Roman"/>
        </w:rPr>
        <w:t xml:space="preserve"> получатель: </w:t>
      </w:r>
      <w:r>
        <w:rPr>
          <w:rFonts w:ascii="Times New Roman" w:eastAsia="Times New Roman" w:hAnsi="Times New Roman" w:cs="Times New Roman"/>
        </w:rPr>
        <w:t>УФК по ХМАО-Югре (ОСФР по ХМАО-Югре, л/с 04874Ф87010),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8601002078,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КПП 860101001,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ОКТМО 71879000,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КБК 79711601230060002140,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УИН 79786002312250506090,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назначение платежа – денежные взыскания (административные штрафы), установленные главой 15 КоАП РФ, предусмотренные за нарушение ч. 4 ст. 15.33 КоАП РФ.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Копию квитанции об оплате административного штрафа необходимо представить по адресу: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105. </w:t>
      </w:r>
    </w:p>
    <w:p>
      <w:pPr>
        <w:spacing w:before="0" w:after="0"/>
        <w:ind w:firstLine="680"/>
        <w:jc w:val="both"/>
        <w:rPr>
          <w:sz w:val="28"/>
          <w:szCs w:val="28"/>
        </w:rPr>
      </w:pP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680"/>
        <w:jc w:val="both"/>
        <w:rPr>
          <w:sz w:val="28"/>
          <w:szCs w:val="28"/>
        </w:rPr>
      </w:pP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726622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8">
    <w:name w:val="cat-UserDefined grp-39 rplc-8"/>
    <w:basedOn w:val="DefaultParagraphFont"/>
  </w:style>
  <w:style w:type="character" w:customStyle="1" w:styleId="cat-UserDefinedgrp-40rplc-16">
    <w:name w:val="cat-UserDefined grp-40 rplc-16"/>
    <w:basedOn w:val="DefaultParagraphFont"/>
  </w:style>
  <w:style w:type="character" w:customStyle="1" w:styleId="cat-UserDefinedgrp-41rplc-20">
    <w:name w:val="cat-UserDefined grp-41 rplc-20"/>
    <w:basedOn w:val="DefaultParagraphFont"/>
  </w:style>
  <w:style w:type="character" w:customStyle="1" w:styleId="cat-UserDefinedgrp-42rplc-21">
    <w:name w:val="cat-UserDefined grp-42 rplc-21"/>
    <w:basedOn w:val="DefaultParagraphFont"/>
  </w:style>
  <w:style w:type="character" w:customStyle="1" w:styleId="cat-UserDefinedgrp-43rplc-23">
    <w:name w:val="cat-UserDefined grp-43 rplc-23"/>
    <w:basedOn w:val="DefaultParagraphFont"/>
  </w:style>
  <w:style w:type="character" w:customStyle="1" w:styleId="cat-UserDefinedgrp-31rplc-25">
    <w:name w:val="cat-UserDefined grp-31 rplc-25"/>
    <w:basedOn w:val="DefaultParagraphFont"/>
  </w:style>
  <w:style w:type="character" w:customStyle="1" w:styleId="cat-UserDefinedgrp-31rplc-26">
    <w:name w:val="cat-UserDefined grp-31 rplc-26"/>
    <w:basedOn w:val="DefaultParagraphFont"/>
  </w:style>
  <w:style w:type="character" w:customStyle="1" w:styleId="cat-Timegrp-29rplc-28">
    <w:name w:val="cat-Time grp-29 rplc-28"/>
    <w:basedOn w:val="DefaultParagraphFont"/>
  </w:style>
  <w:style w:type="character" w:customStyle="1" w:styleId="cat-Timegrp-30rplc-31">
    <w:name w:val="cat-Time grp-30 rplc-31"/>
    <w:basedOn w:val="DefaultParagraphFont"/>
  </w:style>
  <w:style w:type="character" w:customStyle="1" w:styleId="cat-UserDefinedgrp-31rplc-38">
    <w:name w:val="cat-UserDefined grp-31 rplc-38"/>
    <w:basedOn w:val="DefaultParagraphFont"/>
  </w:style>
  <w:style w:type="character" w:customStyle="1" w:styleId="cat-UserDefinedgrp-44rplc-42">
    <w:name w:val="cat-UserDefined grp-44 rplc-42"/>
    <w:basedOn w:val="DefaultParagraphFont"/>
  </w:style>
  <w:style w:type="character" w:customStyle="1" w:styleId="cat-Sumgrp-26rplc-45">
    <w:name w:val="cat-Sum grp-26 rplc-45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8015E-028B-41F2-BDBB-87288533795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